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jpg" ContentType="image/jpe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Finance and Economics for Managers (MBA 2025) - Quizz on Sessions 1-5</w:t>
      </w:r>
    </w:p>
    <w:p>
      <w:pPr>
        <w:pStyle w:val="Author"/>
      </w:pPr>
      <w:r>
        <w:t xml:space="preserve">Nima Fazeli</w:t>
      </w:r>
    </w:p>
    <w:bookmarkStart w:id="20" w:name="solutions"/>
    <w:p>
      <w:pPr>
        <w:pStyle w:val="Heading1"/>
      </w:pPr>
      <w:r>
        <w:t xml:space="preserve">Solutions</w:t>
      </w:r>
    </w:p>
    <w:p>
      <w:pPr>
        <w:pStyle w:val="Compact"/>
        <w:numPr>
          <w:ilvl w:val="0"/>
          <w:numId w:val="1001"/>
        </w:numPr>
      </w:pPr>
      <w:r>
        <w:rPr>
          <w:b/>
          <w:bCs/>
        </w:rPr>
        <w:t xml:space="preserve">b) Its national saving is greater than its domestic investment</w:t>
      </w:r>
      <w:r>
        <w:t xml:space="preserve">. The identity can be written as `National Saving - Investment = Net Exports` (S - I = NX). If NX is positive, S must be greater than I. The country saves more than it invests domestically and lends the surplus to the rest of the world.</w:t>
      </w:r>
    </w:p>
    <w:p>
      <w:pPr>
        <w:pStyle w:val="Compact"/>
        <w:numPr>
          <w:ilvl w:val="0"/>
          <w:numId w:val="1001"/>
        </w:numPr>
      </w:pPr>
      <w:r>
        <w:rPr>
          <w:b/>
          <w:bCs/>
        </w:rPr>
        <w:t xml:space="preserve">b) Revenues will increase</w:t>
      </w:r>
      <w:r>
        <w:t xml:space="preserve">. When the dollar weakens, each Euro earned from sales converts into more dollars, thus increasing the reported revenue in the company's home currency.</w:t>
      </w:r>
    </w:p>
    <w:p>
      <w:pPr>
        <w:pStyle w:val="Compact"/>
        <w:numPr>
          <w:ilvl w:val="0"/>
          <w:numId w:val="1001"/>
        </w:numPr>
      </w:pPr>
      <w:r>
        <w:rPr>
          <w:b/>
          <w:bCs/>
        </w:rPr>
        <w:t xml:space="preserve">c) It is added to the Cost of Equity calculation, thereby increasing the WACC</w:t>
      </w:r>
      <w:r>
        <w:t xml:space="preserve">. The formula for the Cost of Equity is modified to</w:t>
      </w:r>
      <w:r>
        <w:t xml:space="preserve"> </w:t>
      </w:r>
      <m:oMath>
        <m:sSub>
          <m:e>
            <m:r>
              <m:t>R</m:t>
            </m:r>
          </m:e>
          <m:sub>
            <m:r>
              <m:t>e</m:t>
            </m:r>
          </m:sub>
        </m:sSub>
        <m:r>
          <m:rPr>
            <m:sty m:val="p"/>
          </m:rPr>
          <m:t>=</m:t>
        </m:r>
        <m:sSub>
          <m:e>
            <m:r>
              <m:t>R</m:t>
            </m:r>
          </m:e>
          <m:sub>
            <m:r>
              <m:t>f</m:t>
            </m:r>
          </m:sub>
        </m:sSub>
        <m:r>
          <m:rPr>
            <m:sty m:val="p"/>
          </m:rPr>
          <m:t>+</m:t>
        </m:r>
        <m:r>
          <m:t>β</m:t>
        </m:r>
        <m:r>
          <m:rPr>
            <m:sty m:val="p"/>
          </m:rPr>
          <m:t>⋅</m:t>
        </m:r>
        <m:r>
          <m:rPr>
            <m:nor/>
            <m:sty m:val="p"/>
          </m:rPr>
          <m:t>ERP</m:t>
        </m:r>
        <m:r>
          <m:rPr>
            <m:sty m:val="p"/>
          </m:rPr>
          <m:t>+</m:t>
        </m:r>
        <m:r>
          <m:rPr>
            <m:sty m:val="b"/>
          </m:rPr>
          <m:t>C</m:t>
        </m:r>
        <m:r>
          <m:rPr>
            <m:sty m:val="b"/>
          </m:rPr>
          <m:t>R</m:t>
        </m:r>
        <m:r>
          <m:rPr>
            <m:sty m:val="b"/>
          </m:rPr>
          <m:t>P</m:t>
        </m:r>
      </m:oMath>
      <w:r>
        <w:t xml:space="preserve">. This higher cost of capital reflects the higher risk of operating in that country and lowers the valuation of projects there.</w:t>
      </w:r>
    </w:p>
    <w:p>
      <w:pPr>
        <w:pStyle w:val="Compact"/>
        <w:numPr>
          <w:ilvl w:val="0"/>
          <w:numId w:val="1001"/>
        </w:numPr>
      </w:pPr>
      <w:r>
        <w:rPr>
          <w:b/>
          <w:bCs/>
        </w:rPr>
        <w:t xml:space="preserve">d) A decrease in FCF (due to higher NWC investment) but a potential increase in firm value if it significantly reduces risk</w:t>
      </w:r>
      <w:r>
        <w:t xml:space="preserve">. Holding more inventory increases Net Working Capital, which is a use of cash that reduces FCF. However, the goal is to make the firm more resilient, which reduces the riskiness of its cash flows (lowering WACC) and may increase overall firm value.</w:t>
      </w:r>
    </w:p>
    <w:p>
      <w:pPr>
        <w:pStyle w:val="Compact"/>
        <w:numPr>
          <w:ilvl w:val="0"/>
          <w:numId w:val="1001"/>
        </w:numPr>
      </w:pPr>
      <w:r>
        <w:rPr>
          <w:b/>
          <w:bCs/>
        </w:rPr>
        <w:t xml:space="preserve">b) To eliminate the upside and downside of currency fluctuations by locking in a future exchange rate</w:t>
      </w:r>
      <w:r>
        <w:t xml:space="preserve">. A forward contract provides certainty by fixing the price for a future transaction, removing the risk of adverse movements but also forgoing the benefit of favorable ones.</w:t>
      </w:r>
    </w:p>
    <w:p>
      <w:pPr>
        <w:pStyle w:val="Compact"/>
        <w:numPr>
          <w:ilvl w:val="0"/>
          <w:numId w:val="1001"/>
        </w:numPr>
      </w:pPr>
      <w:r>
        <w:rPr>
          <w:b/>
          <w:bCs/>
        </w:rPr>
        <w:t xml:space="preserve">b) Equity holders have a residual claim on assets and cash flows, making their investment riskier</w:t>
      </w:r>
      <w:r>
        <w:t xml:space="preserve">. Equity is last in line to be paid in a bankruptcy, after all debt holders. This higher risk demands a higher return.</w:t>
      </w:r>
    </w:p>
    <w:p>
      <w:pPr>
        <w:pStyle w:val="Compact"/>
        <w:numPr>
          <w:ilvl w:val="0"/>
          <w:numId w:val="1001"/>
        </w:numPr>
      </w:pPr>
      <w:r>
        <w:rPr>
          <w:b/>
          <w:bCs/>
        </w:rPr>
        <w:t xml:space="preserve">b) The interest rate (r) will definitely rise, and the effect on output (Y) is ambiguous</w:t>
      </w:r>
      <w:r>
        <w:t xml:space="preserve">. The tax cut shifts the IS curve right (increasing Y). The monetary tightening shifts the LM curve left (decreasing Y). The opposing effects on Y make the final outcome ambiguous, but both actions put upward pressure on the interest rate (r).</w:t>
      </w:r>
    </w:p>
    <w:p>
      <w:pPr>
        <w:pStyle w:val="Compact"/>
        <w:numPr>
          <w:ilvl w:val="0"/>
          <w:numId w:val="1001"/>
        </w:numPr>
      </w:pPr>
      <w:r>
        <w:rPr>
          <w:b/>
          <w:bCs/>
        </w:rPr>
        <w:t xml:space="preserve">a) The cost of the component in Euros will decrease, improving profit margins</w:t>
      </w:r>
      <w:r>
        <w:t xml:space="preserve">. A stronger Euro means each Euro buys more Japanese Yen. Therefore, the company needs fewer Euros to pay for its imports, lowering its Cost of Goods Sold.</w:t>
      </w:r>
    </w:p>
    <w:p>
      <w:pPr>
        <w:pStyle w:val="Compact"/>
        <w:numPr>
          <w:ilvl w:val="0"/>
          <w:numId w:val="1001"/>
        </w:numPr>
      </w:pPr>
      <w:r>
        <w:rPr>
          <w:b/>
          <w:bCs/>
        </w:rPr>
        <w:t xml:space="preserve">b) Depreciation is calculated based on the historical cost of an asset, which is lower than its current replacement cost</w:t>
      </w:r>
      <w:r>
        <w:t xml:space="preserve">. The tax deduction is fixed based on an old price, while the real cost to replace the asset has soared with inflation, diminishing the real value of the tax shield.</w:t>
      </w:r>
    </w:p>
    <w:p>
      <w:pPr>
        <w:pStyle w:val="Compact"/>
        <w:numPr>
          <w:ilvl w:val="0"/>
          <w:numId w:val="1001"/>
        </w:numPr>
      </w:pPr>
      <w:r>
        <w:rPr>
          <w:b/>
          <w:bCs/>
        </w:rPr>
        <w:t xml:space="preserve">c) The market perceives a higher risk of corporate defaults and may be anticipating an economic slowdown</w:t>
      </w:r>
      <w:r>
        <w:t xml:space="preserve">. The spread is the extra yield investors demand to hold riskier corporate debt instead of safe government debt. When fear rises, this spread widens.</w:t>
      </w:r>
    </w:p>
    <w:p>
      <w:pPr>
        <w:pStyle w:val="Compact"/>
        <w:numPr>
          <w:ilvl w:val="0"/>
          <w:numId w:val="1001"/>
        </w:numPr>
      </w:pPr>
      <w:r>
        <w:rPr>
          <w:b/>
          <w:bCs/>
        </w:rPr>
        <w:t xml:space="preserve">c) Hedging</w:t>
      </w:r>
      <w:r>
        <w:t xml:space="preserve">. The airline is taking a financial position (the option contract) to reduce a business risk (volatile fuel prices).</w:t>
      </w:r>
    </w:p>
    <w:p>
      <w:pPr>
        <w:pStyle w:val="Compact"/>
        <w:numPr>
          <w:ilvl w:val="0"/>
          <w:numId w:val="1001"/>
        </w:numPr>
      </w:pPr>
      <w:r>
        <w:rPr>
          <w:b/>
          <w:bCs/>
        </w:rPr>
        <w:t xml:space="preserve">b) Investment (I)</w:t>
      </w:r>
      <w:r>
        <w:t xml:space="preserve">. The construction of new structures and purchase of new equipment by firms is a core part of gross private domestic investment.</w:t>
      </w:r>
    </w:p>
    <w:p>
      <w:pPr>
        <w:pStyle w:val="Compact"/>
        <w:numPr>
          <w:ilvl w:val="0"/>
          <w:numId w:val="1001"/>
        </w:numPr>
      </w:pPr>
      <w:r>
        <w:rPr>
          <w:b/>
          <w:bCs/>
        </w:rPr>
        <w:t xml:space="preserve">b) Greater than 1, as sales are highly sensitive to the economic cycle</w:t>
      </w:r>
      <w:r>
        <w:t xml:space="preserve">. Luxury goods are highly discretionary. Demand soars during economic booms and falls sharply during recessions, making the stock more volatile than the overall market.</w:t>
      </w:r>
    </w:p>
    <w:p>
      <w:pPr>
        <w:pStyle w:val="Compact"/>
        <w:numPr>
          <w:ilvl w:val="0"/>
          <w:numId w:val="1001"/>
        </w:numPr>
      </w:pPr>
      <w:r>
        <w:rPr>
          <w:b/>
          <w:bCs/>
        </w:rPr>
        <w:t xml:space="preserve">b) The risk that a foreign government will seize a company's assets</w:t>
      </w:r>
      <w:r>
        <w:t xml:space="preserve">. This is a key component of political risk when investing abroad.</w:t>
      </w:r>
    </w:p>
    <w:p>
      <w:pPr>
        <w:pStyle w:val="Compact"/>
        <w:numPr>
          <w:ilvl w:val="0"/>
          <w:numId w:val="1001"/>
        </w:numPr>
      </w:pPr>
      <w:r>
        <w:rPr>
          <w:b/>
          <w:bCs/>
        </w:rPr>
        <w:t xml:space="preserve">b) A use of cash (subtracted from FCF)</w:t>
      </w:r>
      <w:r>
        <w:t xml:space="preserve">. An increase in inventory means the company spent cash to produce or buy goods that it has not yet sold. This cash is tied up and unavailable for other uses, so it reduces FCF via the Change in Net Working Capital.</w:t>
      </w:r>
    </w:p>
    <w:p>
      <w:pPr>
        <w:pStyle w:val="Compact"/>
        <w:numPr>
          <w:ilvl w:val="0"/>
          <w:numId w:val="1001"/>
        </w:numPr>
      </w:pPr>
      <w:r>
        <w:rPr>
          <w:b/>
          <w:bCs/>
        </w:rPr>
        <w:t xml:space="preserve">b) Translation Exposure</w:t>
      </w:r>
      <w:r>
        <w:t xml:space="preserve">. This is the accounting-based risk that arises from the need to "translate" the financial statements of a foreign subsidiary from its local currency into the parent company's home currency.</w:t>
      </w:r>
    </w:p>
    <w:p>
      <w:pPr>
        <w:pStyle w:val="Compact"/>
        <w:numPr>
          <w:ilvl w:val="0"/>
          <w:numId w:val="1001"/>
        </w:numPr>
      </w:pPr>
      <w:r>
        <w:rPr>
          <w:b/>
          <w:bCs/>
        </w:rPr>
        <w:t xml:space="preserve">c) Allows the holder to benefit from favorable exchange rate movements while being protected from unfavorable ones</w:t>
      </w:r>
      <w:r>
        <w:t xml:space="preserve">. An option provides "downside protection" while retaining "upside potential," unlike a forward contract which eliminates both. This flexibility comes at a cost (the option premium).</w:t>
      </w:r>
    </w:p>
    <w:p>
      <w:pPr>
        <w:pStyle w:val="Compact"/>
        <w:numPr>
          <w:ilvl w:val="0"/>
          <w:numId w:val="1001"/>
        </w:numPr>
      </w:pPr>
      <w:r>
        <w:rPr>
          <w:b/>
          <w:bCs/>
        </w:rPr>
        <w:t xml:space="preserve">c) 10%</w:t>
      </w:r>
      <w:r>
        <w:t xml:space="preserve">. The approximate real growth rate is the nominal growth rate minus the inflation rate (15% - 5% = 10%).</w:t>
      </w:r>
    </w:p>
    <w:p>
      <w:pPr>
        <w:pStyle w:val="Compact"/>
        <w:numPr>
          <w:ilvl w:val="0"/>
          <w:numId w:val="1001"/>
        </w:numPr>
      </w:pPr>
      <w:r>
        <w:rPr>
          <w:b/>
          <w:bCs/>
        </w:rPr>
        <w:t xml:space="preserve">b) Potentially increasing nominal revenues (numerator) but also potentially increasing the WACC (denominator)</w:t>
      </w:r>
      <w:r>
        <w:t xml:space="preserve">. Inflation can allow for higher prices (boosting nominal FCF), but it also leads central banks to raise interest rates, which increases the risk-free rate and thus the WACC. The net effect on valuation is often negative.</w:t>
      </w:r>
    </w:p>
    <w:p>
      <w:pPr>
        <w:pStyle w:val="Compact"/>
        <w:numPr>
          <w:ilvl w:val="0"/>
          <w:numId w:val="1001"/>
        </w:numPr>
      </w:pPr>
      <w:r>
        <w:rPr>
          <w:b/>
          <w:bCs/>
        </w:rPr>
        <w:t xml:space="preserve">c) Pricing Power</w:t>
      </w:r>
      <w:r>
        <w:t xml:space="preserve">. This is a crucial strategic advantage, especially during inflationary periods, as it allows a firm to protect its profit margins.</w:t>
      </w:r>
    </w:p>
    <w:bookmarkEnd w:id="20"/>
    <w:bookmarkStart w:id="21" w:name="answer-keys"/>
    <w:p>
      <w:pPr>
        <w:pStyle w:val="Heading1"/>
      </w:pPr>
      <w:r>
        <w:t xml:space="preserve">Answer keys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Question</w:t>
            </w:r>
          </w:p>
        </w:tc>
        <w:tc>
          <w:tcPr/>
          <w:p>
            <w:pPr>
              <w:pStyle w:val="Compact"/>
            </w:pPr>
            <w:r>
              <w:t xml:space="preserve">a</w:t>
            </w:r>
          </w:p>
        </w:tc>
        <w:tc>
          <w:tcPr/>
          <w:p>
            <w:pPr>
              <w:pStyle w:val="Compact"/>
            </w:pPr>
            <w:r>
              <w:t xml:space="preserve">b</w:t>
            </w:r>
          </w:p>
        </w:tc>
        <w:tc>
          <w:tcPr/>
          <w:p>
            <w:pPr>
              <w:pStyle w:val="Compact"/>
            </w:pPr>
            <w:r>
              <w:t xml:space="preserve">c</w:t>
            </w:r>
          </w:p>
        </w:tc>
        <w:tc>
          <w:tcPr/>
          <w:p>
            <w:pPr>
              <w:pStyle w:val="Compact"/>
            </w:pPr>
            <w:r>
              <w:t xml:space="preserve">d</w:t>
            </w:r>
          </w:p>
        </w:tc>
      </w:tr>
      <w:tr>
        <w:tc>
          <w:tcPr/>
          <w:p>
            <w:pPr>
              <w:pStyle w:val="Compact"/>
            </w:pPr>
            <w:r>
              <w:t xml:space="preserve">1</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3</w:t>
            </w:r>
          </w:p>
        </w:tc>
        <w:tc>
          <w:tcPr/>
          <w:p>
            <w:pPr>
              <w:pStyle w:val="Compact"/>
            </w:pPr>
          </w:p>
        </w:tc>
        <w:tc>
          <w:tcPr/>
          <w:p>
            <w:pPr>
              <w:pStyle w:val="Compact"/>
            </w:pPr>
          </w:p>
        </w:tc>
        <w:tc>
          <w:tcPr/>
          <w:p>
            <w:pPr>
              <w:pStyle w:val="Compact"/>
            </w:pPr>
            <w:r>
              <w:t xml:space="preserve">✓</w:t>
            </w:r>
          </w:p>
        </w:tc>
        <w:tc>
          <w:tcPr/>
          <w:p>
            <w:pPr>
              <w:pStyle w:val="Compact"/>
            </w:pPr>
          </w:p>
        </w:tc>
      </w:tr>
      <w:tr>
        <w:tc>
          <w:tcPr/>
          <w:p>
            <w:pPr>
              <w:pStyle w:val="Compact"/>
            </w:pPr>
            <w:r>
              <w:t xml:space="preserve">4</w:t>
            </w:r>
          </w:p>
        </w:tc>
        <w:tc>
          <w:tcPr/>
          <w:p>
            <w:pPr>
              <w:pStyle w:val="Compact"/>
            </w:pPr>
          </w:p>
        </w:tc>
        <w:tc>
          <w:tcPr/>
          <w:p>
            <w:pPr>
              <w:pStyle w:val="Compact"/>
            </w:pPr>
          </w:p>
        </w:tc>
        <w:tc>
          <w:tcPr/>
          <w:p>
            <w:pPr>
              <w:pStyle w:val="Compact"/>
            </w:pPr>
          </w:p>
        </w:tc>
        <w:tc>
          <w:tcPr/>
          <w:p>
            <w:pPr>
              <w:pStyle w:val="Compact"/>
            </w:pPr>
            <w:r>
              <w:t xml:space="preserve">✓</w:t>
            </w:r>
          </w:p>
        </w:tc>
      </w:tr>
      <w:tr>
        <w:tc>
          <w:tcPr/>
          <w:p>
            <w:pPr>
              <w:pStyle w:val="Compact"/>
            </w:pPr>
            <w:r>
              <w:t xml:space="preserve">5</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6</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7</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8</w:t>
            </w:r>
          </w:p>
        </w:tc>
        <w:tc>
          <w:tcPr/>
          <w:p>
            <w:pPr>
              <w:pStyle w:val="Compact"/>
            </w:pPr>
            <w:r>
              <w:t xml:space="preserve">✓</w:t>
            </w:r>
          </w:p>
        </w:tc>
        <w:tc>
          <w:tcPr/>
          <w:p>
            <w:pPr>
              <w:pStyle w:val="Compact"/>
            </w:pPr>
          </w:p>
        </w:tc>
        <w:tc>
          <w:tcPr/>
          <w:p>
            <w:pPr>
              <w:pStyle w:val="Compact"/>
            </w:pPr>
          </w:p>
        </w:tc>
        <w:tc>
          <w:tcPr/>
          <w:p>
            <w:pPr>
              <w:pStyle w:val="Compact"/>
            </w:pPr>
          </w:p>
        </w:tc>
      </w:tr>
      <w:tr>
        <w:tc>
          <w:tcPr/>
          <w:p>
            <w:pPr>
              <w:pStyle w:val="Compact"/>
            </w:pPr>
            <w:r>
              <w:t xml:space="preserve">9</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10</w:t>
            </w:r>
          </w:p>
        </w:tc>
        <w:tc>
          <w:tcPr/>
          <w:p>
            <w:pPr>
              <w:pStyle w:val="Compact"/>
            </w:pPr>
          </w:p>
        </w:tc>
        <w:tc>
          <w:tcPr/>
          <w:p>
            <w:pPr>
              <w:pStyle w:val="Compact"/>
            </w:pPr>
          </w:p>
        </w:tc>
        <w:tc>
          <w:tcPr/>
          <w:p>
            <w:pPr>
              <w:pStyle w:val="Compact"/>
            </w:pPr>
            <w:r>
              <w:t xml:space="preserve">✓</w:t>
            </w:r>
          </w:p>
        </w:tc>
        <w:tc>
          <w:tcPr/>
          <w:p>
            <w:pPr>
              <w:pStyle w:val="Compact"/>
            </w:pPr>
          </w:p>
        </w:tc>
      </w:tr>
      <w:tr>
        <w:tc>
          <w:tcPr/>
          <w:p>
            <w:pPr>
              <w:pStyle w:val="Compact"/>
            </w:pPr>
            <w:r>
              <w:t xml:space="preserve">11</w:t>
            </w:r>
          </w:p>
        </w:tc>
        <w:tc>
          <w:tcPr/>
          <w:p>
            <w:pPr>
              <w:pStyle w:val="Compact"/>
            </w:pPr>
          </w:p>
        </w:tc>
        <w:tc>
          <w:tcPr/>
          <w:p>
            <w:pPr>
              <w:pStyle w:val="Compact"/>
            </w:pPr>
          </w:p>
        </w:tc>
        <w:tc>
          <w:tcPr/>
          <w:p>
            <w:pPr>
              <w:pStyle w:val="Compact"/>
            </w:pPr>
            <w:r>
              <w:t xml:space="preserve">✓</w:t>
            </w:r>
          </w:p>
        </w:tc>
        <w:tc>
          <w:tcPr/>
          <w:p>
            <w:pPr>
              <w:pStyle w:val="Compact"/>
            </w:pPr>
          </w:p>
        </w:tc>
      </w:tr>
      <w:tr>
        <w:tc>
          <w:tcPr/>
          <w:p>
            <w:pPr>
              <w:pStyle w:val="Compact"/>
            </w:pPr>
            <w:r>
              <w:t xml:space="preserve">12</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13</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14</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15</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16</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17</w:t>
            </w:r>
          </w:p>
        </w:tc>
        <w:tc>
          <w:tcPr/>
          <w:p>
            <w:pPr>
              <w:pStyle w:val="Compact"/>
            </w:pPr>
          </w:p>
        </w:tc>
        <w:tc>
          <w:tcPr/>
          <w:p>
            <w:pPr>
              <w:pStyle w:val="Compact"/>
            </w:pPr>
          </w:p>
        </w:tc>
        <w:tc>
          <w:tcPr/>
          <w:p>
            <w:pPr>
              <w:pStyle w:val="Compact"/>
            </w:pPr>
            <w:r>
              <w:t xml:space="preserve">✓</w:t>
            </w:r>
          </w:p>
        </w:tc>
        <w:tc>
          <w:tcPr/>
          <w:p>
            <w:pPr>
              <w:pStyle w:val="Compact"/>
            </w:pPr>
          </w:p>
        </w:tc>
      </w:tr>
      <w:tr>
        <w:tc>
          <w:tcPr/>
          <w:p>
            <w:pPr>
              <w:pStyle w:val="Compact"/>
            </w:pPr>
            <w:r>
              <w:t xml:space="preserve">18</w:t>
            </w:r>
          </w:p>
        </w:tc>
        <w:tc>
          <w:tcPr/>
          <w:p>
            <w:pPr>
              <w:pStyle w:val="Compact"/>
            </w:pPr>
          </w:p>
        </w:tc>
        <w:tc>
          <w:tcPr/>
          <w:p>
            <w:pPr>
              <w:pStyle w:val="Compact"/>
            </w:pPr>
          </w:p>
        </w:tc>
        <w:tc>
          <w:tcPr/>
          <w:p>
            <w:pPr>
              <w:pStyle w:val="Compact"/>
            </w:pPr>
            <w:r>
              <w:t xml:space="preserve">✓</w:t>
            </w:r>
          </w:p>
        </w:tc>
        <w:tc>
          <w:tcPr/>
          <w:p>
            <w:pPr>
              <w:pStyle w:val="Compact"/>
            </w:pPr>
          </w:p>
        </w:tc>
      </w:tr>
      <w:tr>
        <w:tc>
          <w:tcPr/>
          <w:p>
            <w:pPr>
              <w:pStyle w:val="Compact"/>
            </w:pPr>
            <w:r>
              <w:t xml:space="preserve">19</w:t>
            </w:r>
          </w:p>
        </w:tc>
        <w:tc>
          <w:tcPr/>
          <w:p>
            <w:pPr>
              <w:pStyle w:val="Compact"/>
            </w:pPr>
          </w:p>
        </w:tc>
        <w:tc>
          <w:tcPr/>
          <w:p>
            <w:pPr>
              <w:pStyle w:val="Compact"/>
            </w:pPr>
            <w:r>
              <w:t xml:space="preserve">✓</w:t>
            </w:r>
          </w:p>
        </w:tc>
        <w:tc>
          <w:tcPr/>
          <w:p>
            <w:pPr>
              <w:pStyle w:val="Compact"/>
            </w:pPr>
          </w:p>
        </w:tc>
        <w:tc>
          <w:tcPr/>
          <w:p>
            <w:pPr>
              <w:pStyle w:val="Compact"/>
            </w:pPr>
          </w:p>
        </w:tc>
      </w:tr>
      <w:tr>
        <w:tc>
          <w:tcPr/>
          <w:p>
            <w:pPr>
              <w:pStyle w:val="Compact"/>
            </w:pPr>
            <w:r>
              <w:t xml:space="preserve">20</w:t>
            </w:r>
          </w:p>
        </w:tc>
        <w:tc>
          <w:tcPr/>
          <w:p>
            <w:pPr>
              <w:pStyle w:val="Compact"/>
            </w:pPr>
          </w:p>
        </w:tc>
        <w:tc>
          <w:tcPr/>
          <w:p>
            <w:pPr>
              <w:pStyle w:val="Compact"/>
            </w:pPr>
          </w:p>
        </w:tc>
        <w:tc>
          <w:tcPr/>
          <w:p>
            <w:pPr>
              <w:pStyle w:val="Compact"/>
            </w:pPr>
            <w:r>
              <w:t xml:space="preserve">✓</w:t>
            </w:r>
          </w:p>
        </w:tc>
        <w:tc>
          <w:tcPr/>
          <w:p>
            <w:pPr>
              <w:pStyle w:val="Compact"/>
            </w:pPr>
          </w:p>
        </w:tc>
      </w:tr>
    </w:tbl>
    <w:bookmarkEnd w:id="21"/>
    <w:sectPr w:rsidR="00194344" w:rsidRPr="006E2ED4" w:rsidSect="00C24811">
      <w:headerReference r:id="rId9" w:type="default"/>
      <w:pgSz w:h="15840" w:w="12240"/>
      <w:pgMar w:bottom="1440" w:footer="720" w:gutter="0" w:header="720" w:left="1440" w:right="1440" w:top="1725"/>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isse Int'l Book">
    <w:panose1 w:val="020B0504000000000000"/>
    <w:charset w:val="00"/>
    <w:family w:val="swiss"/>
    <w:notTrueType/>
    <w:pitch w:val="variable"/>
    <w:sig w:usb0="00000207" w:usb1="00000000" w:usb2="00000000" w:usb3="00000000" w:csb0="00000097" w:csb1="00000000"/>
  </w:font>
  <w:font w:name="Suisse Int'l">
    <w:panose1 w:val="020B0504000000000000"/>
    <w:charset w:val="00"/>
    <w:family w:val="swiss"/>
    <w:notTrueType/>
    <w:pitch w:val="variable"/>
    <w:sig w:usb0="00002207" w:usb1="00000000" w:usb2="00000008" w:usb3="00000000" w:csb0="000000D7" w:csb1="00000000"/>
  </w:font>
  <w:font w:name="Suisse Int'l Semi Bold">
    <w:panose1 w:val="020B0804000000000000"/>
    <w:charset w:val="00"/>
    <w:family w:val="swiss"/>
    <w:notTrueType/>
    <w:pitch w:val="variable"/>
    <w:sig w:usb0="00002207" w:usb1="00000000" w:usb2="00000008" w:usb3="00000000" w:csb0="000000D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Code">
    <w:panose1 w:val="020B0809050000020004"/>
    <w:charset w:val="00"/>
    <w:family w:val="modern"/>
    <w:pitch w:val="fixed"/>
    <w:sig w:usb0="E00002EF" w:usb1="1201F9FB" w:usb2="02002018" w:usb3="00000000" w:csb0="0000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B2D2" w14:textId="302E344A" w:rsidR="00C24811" w:rsidRDefault="00C95968">
    <w:pPr>
      <w:pStyle w:val="Header"/>
    </w:pPr>
    <w:r>
      <w:rPr>
        <w:noProof/>
        <w:lang w:eastAsia="fr-FR"/>
      </w:rPr>
      <w:drawing>
        <wp:inline distT="0" distB="0" distL="0" distR="0" wp14:anchorId="7798D0AC" wp14:editId="53D2C11F">
          <wp:extent cx="1345721" cy="503870"/>
          <wp:effectExtent l="0" t="0" r="0" b="0"/>
          <wp:docPr id="6" name="Image 6" descr="LOGOTYPE PSB_BRANDBLOCK_BLEU 28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TYPE PSB_BRANDBLOCK_BLEU 288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863" cy="509914"/>
                  </a:xfrm>
                  <a:prstGeom prst="rect">
                    <a:avLst/>
                  </a:prstGeom>
                  <a:noFill/>
                  <a:ln>
                    <a:noFill/>
                  </a:ln>
                </pic:spPr>
              </pic:pic>
            </a:graphicData>
          </a:graphic>
        </wp:inline>
      </w:drawing>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2DEC13AC"/>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EDC07C0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2">
    <w:nsid w:val="00A99411"/>
    <w:multiLevelType w:val="multilevel"/>
    <w:tmpl w:val="5EE275AE"/>
    <w:lvl w:ilvl="0">
      <w:start w:val="1"/>
      <w:numFmt w:val="decimal"/>
      <w:lvlText w:val="%1."/>
      <w:lvlJc w:val="left"/>
      <w:pPr>
        <w:ind w:hanging="480" w:left="720"/>
      </w:p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15:restartNumberingAfterBreak="0" w:abstractNumId="3">
    <w:nsid w:val="25AD1AE3"/>
    <w:multiLevelType w:val="multilevel"/>
    <w:tmpl w:val="C172DD10"/>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4">
    <w:nsid w:val="6819496C"/>
    <w:multiLevelType w:val="multilevel"/>
    <w:tmpl w:val="040C0025"/>
    <w:lvl w:ilvl="0">
      <w:start w:val="1"/>
      <w:numFmt w:val="decimal"/>
      <w:lvlText w:val="%1"/>
      <w:lvlJc w:val="left"/>
      <w:pPr>
        <w:ind w:hanging="432" w:left="432"/>
      </w:pPr>
      <w:rPr>
        <w:rFonts w:hint="default"/>
      </w:rPr>
    </w:lvl>
    <w:lvl w:ilvl="1">
      <w:start w:val="1"/>
      <w:numFmt w:val="decimal"/>
      <w:lvlText w:val="%1.%2"/>
      <w:lvlJc w:val="left"/>
      <w:pPr>
        <w:ind w:hanging="576" w:left="576"/>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864" w:left="864"/>
      </w:pPr>
      <w:rPr>
        <w:rFonts w:hint="default"/>
      </w:rPr>
    </w:lvl>
    <w:lvl w:ilvl="4">
      <w:start w:val="1"/>
      <w:numFmt w:val="decimal"/>
      <w:lvlText w:val="%1.%2.%3.%4.%5"/>
      <w:lvlJc w:val="left"/>
      <w:pPr>
        <w:ind w:hanging="1008" w:left="1008"/>
      </w:pPr>
      <w:rPr>
        <w:rFonts w:hint="default"/>
      </w:rPr>
    </w:lvl>
    <w:lvl w:ilvl="5">
      <w:start w:val="1"/>
      <w:numFmt w:val="decimal"/>
      <w:lvlText w:val="%1.%2.%3.%4.%5.%6"/>
      <w:lvlJc w:val="left"/>
      <w:pPr>
        <w:ind w:hanging="1152" w:left="1152"/>
      </w:pPr>
      <w:rPr>
        <w:rFonts w:hint="default"/>
      </w:rPr>
    </w:lvl>
    <w:lvl w:ilvl="6">
      <w:start w:val="1"/>
      <w:numFmt w:val="decimal"/>
      <w:lvlText w:val="%1.%2.%3.%4.%5.%6.%7"/>
      <w:lvlJc w:val="left"/>
      <w:pPr>
        <w:ind w:hanging="1296" w:left="1296"/>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584" w:left="1584"/>
      </w:pPr>
      <w:rPr>
        <w:rFonts w:hint="default"/>
      </w:rPr>
    </w:lvl>
  </w:abstractNum>
  <w:abstractNum w15:restartNumberingAfterBreak="0" w:abstractNumId="5">
    <w:nsid w:val="7BCC22B9"/>
    <w:multiLevelType w:val="multilevel"/>
    <w:tmpl w:val="040C0025"/>
    <w:lvl w:ilvl="0">
      <w:start w:val="1"/>
      <w:numFmt w:val="decimal"/>
      <w:pStyle w:val="Heading1"/>
      <w:lvlText w:val="%1"/>
      <w:lvlJc w:val="left"/>
      <w:pPr>
        <w:ind w:hanging="432" w:left="432"/>
      </w:pPr>
    </w:lvl>
    <w:lvl w:ilvl="1">
      <w:start w:val="1"/>
      <w:numFmt w:val="decimal"/>
      <w:pStyle w:val="Heading2"/>
      <w:lvlText w:val="%1.%2"/>
      <w:lvlJc w:val="left"/>
      <w:pPr>
        <w:ind w:hanging="576" w:left="576"/>
      </w:pPr>
    </w:lvl>
    <w:lvl w:ilvl="2">
      <w:start w:val="1"/>
      <w:numFmt w:val="decimal"/>
      <w:pStyle w:val="Heading3"/>
      <w:lvlText w:val="%1.%2.%3"/>
      <w:lvlJc w:val="left"/>
      <w:pPr>
        <w:ind w:hanging="720" w:left="720"/>
      </w:pPr>
    </w:lvl>
    <w:lvl w:ilvl="3">
      <w:start w:val="1"/>
      <w:numFmt w:val="decimal"/>
      <w:pStyle w:val="Heading4"/>
      <w:lvlText w:val="%1.%2.%3.%4"/>
      <w:lvlJc w:val="left"/>
      <w:pPr>
        <w:ind w:hanging="864" w:left="864"/>
      </w:pPr>
    </w:lvl>
    <w:lvl w:ilvl="4">
      <w:start w:val="1"/>
      <w:numFmt w:val="decimal"/>
      <w:pStyle w:val="Heading5"/>
      <w:lvlText w:val="%1.%2.%3.%4.%5"/>
      <w:lvlJc w:val="left"/>
      <w:pPr>
        <w:ind w:hanging="1008" w:left="1008"/>
      </w:pPr>
    </w:lvl>
    <w:lvl w:ilvl="5">
      <w:start w:val="1"/>
      <w:numFmt w:val="decimal"/>
      <w:pStyle w:val="Heading6"/>
      <w:lvlText w:val="%1.%2.%3.%4.%5.%6"/>
      <w:lvlJc w:val="left"/>
      <w:pPr>
        <w:ind w:hanging="1152" w:left="1152"/>
      </w:pPr>
    </w:lvl>
    <w:lvl w:ilvl="6">
      <w:start w:val="1"/>
      <w:numFmt w:val="decimal"/>
      <w:pStyle w:val="Heading7"/>
      <w:lvlText w:val="%1.%2.%3.%4.%5.%6.%7"/>
      <w:lvlJc w:val="left"/>
      <w:pPr>
        <w:ind w:hanging="1296" w:left="1296"/>
      </w:pPr>
    </w:lvl>
    <w:lvl w:ilvl="7">
      <w:start w:val="1"/>
      <w:numFmt w:val="decimal"/>
      <w:pStyle w:val="Heading8"/>
      <w:lvlText w:val="%1.%2.%3.%4.%5.%6.%7.%8"/>
      <w:lvlJc w:val="left"/>
      <w:pPr>
        <w:ind w:hanging="1440" w:left="1440"/>
      </w:pPr>
    </w:lvl>
    <w:lvl w:ilvl="8">
      <w:start w:val="1"/>
      <w:numFmt w:val="decimal"/>
      <w:pStyle w:val="Heading9"/>
      <w:lvlText w:val="%1.%2.%3.%4.%5.%6.%7.%8.%9"/>
      <w:lvlJc w:val="left"/>
      <w:pPr>
        <w:ind w:hanging="158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16cid:durableId="1686059104" w:numId="1">
    <w:abstractNumId w:val="0"/>
  </w:num>
  <w:num w16cid:durableId="1741056308"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23613683" w:numId="3">
    <w:abstractNumId w:val="1"/>
  </w:num>
  <w:num w16cid:durableId="1100032036" w:numId="4">
    <w:abstractNumId w:val="1"/>
  </w:num>
  <w:num w16cid:durableId="899481852" w:numId="5">
    <w:abstractNumId w:val="1"/>
  </w:num>
  <w:num w16cid:durableId="69986288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27114725" w:numId="7">
    <w:abstractNumId w:val="4"/>
  </w:num>
  <w:num w16cid:durableId="131410934" w:numId="8">
    <w:abstractNumId w:val="3"/>
  </w:num>
  <w:num w16cid:durableId="1526945373" w:numId="9">
    <w:abstractNumId w:val="5"/>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4344"/>
    <w:rsid w:val="000640D4"/>
    <w:rsid w:val="00194344"/>
    <w:rsid w:val="001E513B"/>
    <w:rsid w:val="00213E9B"/>
    <w:rsid w:val="0039784C"/>
    <w:rsid w:val="00446E3A"/>
    <w:rsid w:val="004671FD"/>
    <w:rsid w:val="00562256"/>
    <w:rsid w:val="00571BF3"/>
    <w:rsid w:val="005A084A"/>
    <w:rsid w:val="006A1D0E"/>
    <w:rsid w:val="006D246F"/>
    <w:rsid w:val="006E2ED4"/>
    <w:rsid w:val="008B3BD9"/>
    <w:rsid w:val="009652C2"/>
    <w:rsid w:val="00A40D11"/>
    <w:rsid w:val="00C24811"/>
    <w:rsid w:val="00C63BA9"/>
    <w:rsid w:val="00C95968"/>
    <w:rsid w:val="00CF0070"/>
    <w:rsid w:val="00DC3984"/>
    <w:rsid w:val="00E31FD6"/>
    <w:rsid w:val="00E60A57"/>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yperlink"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6A1D0E"/>
    <w:pPr>
      <w:spacing w:after="180" w:before="180"/>
    </w:pPr>
    <w:rPr>
      <w:rFonts w:ascii="Suisse Int'l Book" w:cs="Suisse Int'l" w:hAnsi="Suisse Int'l Book"/>
    </w:rPr>
  </w:style>
  <w:style w:styleId="Heading1" w:type="paragraph">
    <w:name w:val="heading 1"/>
    <w:basedOn w:val="Normal"/>
    <w:next w:val="BodyText"/>
    <w:uiPriority w:val="9"/>
    <w:qFormat/>
    <w:rsid w:val="00446E3A"/>
    <w:pPr>
      <w:keepNext/>
      <w:keepLines/>
      <w:numPr>
        <w:numId w:val="9"/>
      </w:numPr>
      <w:spacing w:after="0" w:before="480"/>
      <w:outlineLvl w:val="0"/>
    </w:pPr>
    <w:rPr>
      <w:rFonts w:ascii="Suisse Int'l Semi Bold" w:cs="Suisse Int'l Semi Bold" w:eastAsiaTheme="majorEastAsia" w:hAnsi="Suisse Int'l Semi Bold"/>
      <w:b/>
      <w:bCs/>
      <w:color w:themeColor="text2" w:themeShade="BF" w:val="17365D"/>
      <w:sz w:val="32"/>
      <w:szCs w:val="32"/>
    </w:rPr>
  </w:style>
  <w:style w:styleId="Heading2" w:type="paragraph">
    <w:name w:val="heading 2"/>
    <w:basedOn w:val="Normal"/>
    <w:next w:val="BodyText"/>
    <w:uiPriority w:val="9"/>
    <w:unhideWhenUsed/>
    <w:qFormat/>
    <w:rsid w:val="00C24811"/>
    <w:pPr>
      <w:keepNext/>
      <w:keepLines/>
      <w:numPr>
        <w:ilvl w:val="1"/>
        <w:numId w:val="9"/>
      </w:numPr>
      <w:spacing w:after="0" w:before="200"/>
      <w:outlineLvl w:val="1"/>
    </w:pPr>
    <w:rPr>
      <w:rFonts w:ascii="Suisse Int'l Semi Bold" w:cs="Suisse Int'l Semi Bold" w:eastAsiaTheme="majorEastAsia" w:hAnsi="Suisse Int'l Semi Bold"/>
      <w:b/>
      <w:bCs/>
      <w:color w:themeColor="text2" w:themeShade="BF" w:val="17365D"/>
      <w:sz w:val="28"/>
      <w:szCs w:val="28"/>
    </w:rPr>
  </w:style>
  <w:style w:styleId="Heading3" w:type="paragraph">
    <w:name w:val="heading 3"/>
    <w:basedOn w:val="Normal"/>
    <w:next w:val="BodyText"/>
    <w:uiPriority w:val="9"/>
    <w:unhideWhenUsed/>
    <w:qFormat/>
    <w:rsid w:val="0039784C"/>
    <w:pPr>
      <w:keepNext/>
      <w:keepLines/>
      <w:numPr>
        <w:ilvl w:val="2"/>
        <w:numId w:val="9"/>
      </w:numPr>
      <w:spacing w:after="0" w:before="200"/>
      <w:outlineLvl w:val="2"/>
    </w:pPr>
    <w:rPr>
      <w:rFonts w:ascii="Suisse Int'l Semi Bold" w:cs="Suisse Int'l Semi Bold" w:eastAsiaTheme="majorEastAsia" w:hAnsi="Suisse Int'l Semi Bold"/>
      <w:b/>
      <w:bCs/>
      <w:color w:themeColor="text2" w:themeShade="BF" w:val="17365D"/>
    </w:rPr>
  </w:style>
  <w:style w:styleId="Heading4" w:type="paragraph">
    <w:name w:val="heading 4"/>
    <w:basedOn w:val="Normal"/>
    <w:next w:val="BodyText"/>
    <w:uiPriority w:val="9"/>
    <w:unhideWhenUsed/>
    <w:qFormat/>
    <w:rsid w:val="00DC3984"/>
    <w:pPr>
      <w:keepNext/>
      <w:keepLines/>
      <w:numPr>
        <w:ilvl w:val="3"/>
        <w:numId w:val="9"/>
      </w:numPr>
      <w:spacing w:after="0" w:before="200"/>
      <w:outlineLvl w:val="3"/>
    </w:pPr>
    <w:rPr>
      <w:rFonts w:ascii="Suisse Int'l Semi Bold" w:cs="Suisse Int'l Semi Bold" w:eastAsiaTheme="majorEastAsia" w:hAnsi="Suisse Int'l Semi Bold"/>
      <w:bCs/>
      <w:i/>
      <w:color w:val="AF1062"/>
    </w:rPr>
  </w:style>
  <w:style w:styleId="Heading5" w:type="paragraph">
    <w:name w:val="heading 5"/>
    <w:basedOn w:val="Normal"/>
    <w:next w:val="BodyText"/>
    <w:uiPriority w:val="9"/>
    <w:unhideWhenUsed/>
    <w:qFormat/>
    <w:pPr>
      <w:keepNext/>
      <w:keepLines/>
      <w:numPr>
        <w:ilvl w:val="4"/>
        <w:numId w:val="9"/>
      </w:numPr>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numPr>
        <w:ilvl w:val="5"/>
        <w:numId w:val="9"/>
      </w:numPr>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numPr>
        <w:ilvl w:val="6"/>
        <w:numId w:val="9"/>
      </w:numPr>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numPr>
        <w:ilvl w:val="7"/>
        <w:numId w:val="9"/>
      </w:numPr>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numPr>
        <w:ilvl w:val="8"/>
        <w:numId w:val="9"/>
      </w:numPr>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446E3A"/>
    <w:pPr>
      <w:keepNext/>
      <w:keepLines/>
      <w:spacing w:after="240" w:before="480"/>
      <w:jc w:val="center"/>
    </w:pPr>
    <w:rPr>
      <w:rFonts w:ascii="Suisse Int'l Semi Bold" w:cs="Suisse Int'l Semi Bold" w:eastAsiaTheme="majorEastAsia" w:hAnsi="Suisse Int'l Semi Bold"/>
      <w:b/>
      <w:bCs/>
      <w:color w:val="AF1062"/>
      <w:sz w:val="40"/>
      <w:szCs w:val="40"/>
    </w:rPr>
  </w:style>
  <w:style w:styleId="Subtitle" w:type="paragraph">
    <w:name w:val="Subtitle"/>
    <w:basedOn w:val="Title"/>
    <w:next w:val="BodyText"/>
    <w:qFormat/>
    <w:rsid w:val="005A084A"/>
    <w:pPr>
      <w:spacing w:before="240"/>
    </w:pPr>
    <w:rPr>
      <w:sz w:val="30"/>
      <w:szCs w:val="30"/>
    </w:rPr>
  </w:style>
  <w:style w:customStyle="1" w:styleId="Author" w:type="paragraph">
    <w:name w:val="Author"/>
    <w:next w:val="BodyText"/>
    <w:qFormat/>
    <w:rsid w:val="006A1D0E"/>
    <w:pPr>
      <w:keepNext/>
      <w:keepLines/>
      <w:jc w:val="center"/>
    </w:pPr>
    <w:rPr>
      <w:rFonts w:ascii="Suisse Int'l Semi Bold" w:cs="Suisse Int'l Semi Bold" w:hAnsi="Suisse Int'l Semi Bold"/>
      <w:color w:themeColor="text2" w:themeShade="BF" w:val="17365D"/>
    </w:rPr>
  </w:style>
  <w:style w:styleId="Date" w:type="paragraph">
    <w:name w:val="Date"/>
    <w:next w:val="BodyText"/>
    <w:qFormat/>
    <w:rsid w:val="0039784C"/>
    <w:pPr>
      <w:keepNext/>
      <w:keepLines/>
      <w:jc w:val="center"/>
    </w:pPr>
    <w:rPr>
      <w:rFonts w:ascii="Suisse Int'l" w:cs="Suisse Int'l" w:hAnsi="Suisse Int'l"/>
      <w:color w:val="AF1062"/>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qFormat/>
    <w:rsid w:val="00E31FD6"/>
    <w:rPr>
      <w:color w:val="AF1062"/>
      <w:u w:val="single"/>
    </w:rPr>
  </w:style>
  <w:style w:styleId="TOCHeading" w:type="paragraph">
    <w:name w:val="TOC Heading"/>
    <w:basedOn w:val="Heading1"/>
    <w:next w:val="BodyText"/>
    <w:uiPriority w:val="39"/>
    <w:unhideWhenUsed/>
    <w:qFormat/>
    <w:rsid w:val="006A1D0E"/>
    <w:pPr>
      <w:spacing w:before="240" w:line="259" w:lineRule="auto"/>
      <w:outlineLvl w:val="9"/>
    </w:pPr>
    <w:rPr>
      <w:b w:val="0"/>
      <w:bCs w:val="0"/>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C24811"/>
    <w:pPr>
      <w:tabs>
        <w:tab w:pos="4513" w:val="center"/>
        <w:tab w:pos="9026" w:val="right"/>
      </w:tabs>
      <w:spacing w:after="0" w:before="0"/>
    </w:pPr>
  </w:style>
  <w:style w:customStyle="1" w:styleId="HeaderChar" w:type="character">
    <w:name w:val="Header Char"/>
    <w:basedOn w:val="DefaultParagraphFont"/>
    <w:link w:val="Header"/>
    <w:rsid w:val="00C24811"/>
    <w:rPr>
      <w:rFonts w:ascii="Suisse Int'l Book" w:cs="Suisse Int'l" w:hAnsi="Suisse Int'l Book"/>
    </w:rPr>
  </w:style>
  <w:style w:styleId="Footer" w:type="paragraph">
    <w:name w:val="footer"/>
    <w:basedOn w:val="Normal"/>
    <w:link w:val="FooterChar"/>
    <w:rsid w:val="00C24811"/>
    <w:pPr>
      <w:tabs>
        <w:tab w:pos="4513" w:val="center"/>
        <w:tab w:pos="9026" w:val="right"/>
      </w:tabs>
      <w:spacing w:after="0" w:before="0"/>
    </w:pPr>
  </w:style>
  <w:style w:customStyle="1" w:styleId="FooterChar" w:type="character">
    <w:name w:val="Footer Char"/>
    <w:basedOn w:val="DefaultParagraphFont"/>
    <w:link w:val="Footer"/>
    <w:rsid w:val="00C24811"/>
    <w:rPr>
      <w:rFonts w:ascii="Suisse Int'l Book" w:cs="Suisse Int'l" w:hAnsi="Suisse Int'l Book"/>
    </w:rPr>
  </w:style>
  <w:style w:customStyle="1" w:styleId="Labeur" w:type="paragraph">
    <w:name w:val="Labeur"/>
    <w:basedOn w:val="Normal"/>
    <w:uiPriority w:val="99"/>
    <w:rsid w:val="00C24811"/>
    <w:pPr>
      <w:suppressAutoHyphens/>
      <w:autoSpaceDE w:val="0"/>
      <w:autoSpaceDN w:val="0"/>
      <w:adjustRightInd w:val="0"/>
      <w:spacing w:after="57" w:before="0" w:line="200" w:lineRule="atLeast"/>
      <w:textAlignment w:val="center"/>
    </w:pPr>
    <w:rPr>
      <w:rFonts w:cs="Suisse Int'l Book"/>
      <w:color w:val="000000"/>
      <w:spacing w:val="-3"/>
      <w:sz w:val="17"/>
      <w:szCs w:val="17"/>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1209</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Economics for Managers (MBA 2025) - Quizz on Sessions 1-5</dc:title>
  <dc:creator>Nima Fazeli</dc:creator>
  <cp:keywords/>
  <dcterms:created xsi:type="dcterms:W3CDTF">2025-11-07T13:26:08Z</dcterms:created>
  <dcterms:modified xsi:type="dcterms:W3CDTF">2025-11-07T13:26:08Z</dcterms:modified>
</cp:coreProperties>
</file>

<file path=docProps/custom.xml><?xml version="1.0" encoding="utf-8"?>
<Properties xmlns="http://schemas.openxmlformats.org/officeDocument/2006/custom-properties" xmlns:vt="http://schemas.openxmlformats.org/officeDocument/2006/docPropsVTypes"/>
</file>