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rId23.png" ContentType="image/png"/>
  <Override PartName="/word/media/image1.jpg" ContentType="image/jpe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Intel's Big Bet: The CHIPS Act and Global Foundry Strategy</w:t>
      </w:r>
    </w:p>
    <w:p>
      <w:pPr>
        <w:pStyle w:val="Author"/>
      </w:pPr>
      <w:r>
        <w:t xml:space="preserve">Nima Fazeli</w:t>
      </w:r>
    </w:p>
    <w:bookmarkStart w:id="20" w:name="objective"/>
    <w:p>
      <w:pPr>
        <w:pStyle w:val="Heading1"/>
      </w:pPr>
      <w:r>
        <w:t xml:space="preserve">Objective</w:t>
      </w:r>
    </w:p>
    <w:p>
      <w:pPr>
        <w:pStyle w:val="Compact"/>
        <w:numPr>
          <w:ilvl w:val="0"/>
          <w:numId w:val="1001"/>
        </w:numPr>
      </w:pPr>
      <w:r>
        <w:t xml:space="preserve">To analyze a major corporate investment decision driven by industrial policy and geopolitics, not just market fundamentals.</w:t>
      </w:r>
    </w:p>
    <w:p>
      <w:pPr>
        <w:pStyle w:val="Compact"/>
        <w:numPr>
          <w:ilvl w:val="0"/>
          <w:numId w:val="1001"/>
        </w:numPr>
      </w:pPr>
      <w:r>
        <w:t xml:space="preserve">To evaluate the financial and strategic trade-offs of on-shoring a critical, capital-intensive supply chain.</w:t>
      </w:r>
    </w:p>
    <w:p>
      <w:pPr>
        <w:pStyle w:val="Compact"/>
        <w:numPr>
          <w:ilvl w:val="0"/>
          <w:numId w:val="1001"/>
        </w:numPr>
      </w:pPr>
      <w:r>
        <w:t xml:space="preserve">To apply business cycle management concepts to a long-term, highly cyclical industry.</w:t>
      </w:r>
    </w:p>
    <w:bookmarkEnd w:id="20"/>
    <w:bookmarkStart w:id="21" w:name="the-situation-2022"/>
    <w:p>
      <w:pPr>
        <w:pStyle w:val="Heading1"/>
      </w:pPr>
      <w:r>
        <w:t xml:space="preserve">The Situation: 2022</w:t>
      </w:r>
    </w:p>
    <w:p>
      <w:pPr>
        <w:pStyle w:val="FirstParagraph"/>
      </w:pPr>
      <w:r>
        <w:t xml:space="preserve">You are on the strategic planning team for Intel CEO Pat Gelsinger. The company is at a historic crossroads.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Competitive Crisis:</w:t>
      </w:r>
      <w:r>
        <w:t xml:space="preserve"> </w:t>
      </w:r>
      <w:r>
        <w:t xml:space="preserve">Intel has lost its long-held manufacturing leadership to Taiwan's TSMC and South Korea's Samsung. Its most valuable customers, like Apple, have abandoned Intel processors for their own designs, manufactured by TSMC.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The COVID Shock:</w:t>
      </w:r>
      <w:r>
        <w:t xml:space="preserve"> </w:t>
      </w:r>
      <w:r>
        <w:t xml:space="preserve">The pandemic revealed the profound fragility of the hyper-concentrated global semiconductor supply chain. A global chip shortage brought auto factories and electronics production to a halt, demonstrating that semiconductor manufacturing is critical national infrastructure.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Geopolitical Tensions:</w:t>
      </w:r>
      <w:r>
        <w:t xml:space="preserve"> </w:t>
      </w:r>
      <w:r>
        <w:t xml:space="preserve">The escalating rivalry between the U.S. and China over technology leadership, coupled with the risk of a conflict over Taiwan (home to TSMC), has made reliance on Asian manufacturing a massive strategic vulnerability for the entire Western world.</w:t>
      </w:r>
    </w:p>
    <w:p>
      <w:pPr>
        <w:pStyle w:val="FirstParagraph"/>
      </w:pPr>
      <w:r>
        <w:t xml:space="preserve">In response, the U.S. government passed the</w:t>
      </w:r>
      <w:r>
        <w:t xml:space="preserve"> </w:t>
      </w:r>
      <w:r>
        <w:rPr>
          <w:b/>
          <w:b/>
          <w:bCs/>
          <w:bCs/>
        </w:rPr>
        <w:t xml:space="preserve">CHIPS and Science Act</w:t>
      </w:r>
      <w:r>
        <w:t xml:space="preserve">, a landmark piece of</w:t>
      </w:r>
      <w:r>
        <w:t xml:space="preserve"> </w:t>
      </w:r>
      <w:r>
        <w:rPr>
          <w:b/>
          <w:bCs/>
        </w:rPr>
        <w:t xml:space="preserve">industrial policy</w:t>
      </w:r>
      <w:r>
        <w:t xml:space="preserve"> </w:t>
      </w:r>
      <w:r>
        <w:t xml:space="preserve">allocating $52 billion in subsidies to incentivize companies to build semiconductor fabrication plants ("fabs") on U.S. soil.</w:t>
      </w:r>
    </w:p>
    <w:bookmarkEnd w:id="21"/>
    <w:bookmarkStart w:id="26" w:name="X30779b6fa243ddc24425de77213e69aa8ed4944"/>
    <w:p>
      <w:pPr>
        <w:pStyle w:val="Heading1"/>
      </w:pPr>
      <w:r>
        <w:t xml:space="preserve">The Managerial Dilemma: A $100 Billion Gamble</w:t>
      </w:r>
    </w:p>
    <w:p>
      <w:pPr>
        <w:pStyle w:val="FirstParagraph"/>
      </w:pPr>
      <w:r>
        <w:t xml:space="preserve">CEO Pat Gelsinger has announced a bold and incredibly expensive strategy: Intel will invest over $100 billion to build new fabs in Arizona and Ohio and become a "foundry" service, manufacturing chips for other companies (like TSMC does). This is a bet-the-company move.</w:t>
      </w:r>
    </w:p>
    <w:p>
      <w:pPr>
        <w:pStyle w:val="BodyText"/>
      </w:pPr>
      <w:r>
        <w:t xml:space="preserve">The strategy announced by the CEO is called</w:t>
      </w:r>
      <w:r>
        <w:t xml:space="preserve"> </w:t>
      </w:r>
      <w:hyperlink r:id="rId22">
        <w:r>
          <w:rPr>
            <w:rStyle w:val="Hyperlink"/>
          </w:rPr>
          <w:t xml:space="preserve">IDM 2.0</w:t>
        </w:r>
      </w:hyperlink>
      <w:r>
        <w:t xml:space="preserve"> </w:t>
      </w:r>
      <w:r>
        <w:t xml:space="preserve">and is public in a press release as of March 2021.</w:t>
      </w:r>
    </w:p>
    <w:p>
      <w:pPr>
        <w:pStyle w:val="BodyText"/>
      </w:pPr>
      <w:r>
        <w:t xml:space="preserve">The question for your team is: Is this visionary strategy or a catastrophic miscalculation?</w:t>
      </w:r>
    </w:p>
    <w:p>
      <w:pPr>
        <w:pStyle w:val="BodyText"/>
      </w:pPr>
      <w:r>
        <w:drawing>
          <wp:inline>
            <wp:extent cx="5943600" cy="5291623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img/intel_dilemma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916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27" w:name="group-task-memo-to-the-ceo-30-min"/>
    <w:p>
      <w:pPr>
        <w:pStyle w:val="Heading1"/>
      </w:pPr>
      <w:r>
        <w:t xml:space="preserve">Group Task: Memo to the CEO (30 min)</w:t>
      </w:r>
    </w:p>
    <w:p>
      <w:pPr>
        <w:pStyle w:val="FirstParagraph"/>
      </w:pPr>
      <w:r>
        <w:t xml:space="preserve">Your team must prepare a one-page memo for Pat Gelsinger evaluating this strategy. Address the following:</w:t>
      </w:r>
    </w:p>
    <w:p>
      <w:pPr>
        <w:numPr>
          <w:ilvl w:val="0"/>
          <w:numId w:val="1003"/>
        </w:numPr>
      </w:pPr>
      <w:r>
        <w:rPr>
          <w:b/>
          <w:b/>
          <w:bCs/>
          <w:bCs/>
        </w:rPr>
        <w:t xml:space="preserve">The Financial Impact:</w:t>
      </w:r>
      <w:r>
        <w:t xml:space="preserve"> </w:t>
      </w:r>
      <w:r>
        <w:t xml:space="preserve">What does this strategy do to Intel's financials in the short-term (next 3-5 years)? Discuss the impact on:</w:t>
      </w:r>
    </w:p>
    <w:p>
      <w:pPr>
        <w:pStyle w:val="Compact"/>
        <w:numPr>
          <w:ilvl w:val="1"/>
          <w:numId w:val="1004"/>
        </w:numPr>
      </w:pPr>
      <w:r>
        <w:rPr>
          <w:b/>
          <w:bCs/>
        </w:rPr>
        <w:t xml:space="preserve">Free Cash Flow (FCF):</w:t>
      </w:r>
      <w:r>
        <w:t xml:space="preserve"> </w:t>
      </w:r>
      <w:r>
        <w:t xml:space="preserve">What will happen to CapEx? What does this mean for FCF?</w:t>
      </w:r>
    </w:p>
    <w:p>
      <w:pPr>
        <w:pStyle w:val="Compact"/>
        <w:numPr>
          <w:ilvl w:val="1"/>
          <w:numId w:val="1004"/>
        </w:numPr>
      </w:pPr>
      <w:r>
        <w:rPr>
          <w:b/>
          <w:bCs/>
        </w:rPr>
        <w:t xml:space="preserve">The Balance Sheet:</w:t>
      </w:r>
      <w:r>
        <w:t xml:space="preserve"> </w:t>
      </w:r>
      <w:r>
        <w:t xml:space="preserve">How will Intel likely fund this? What does that do to its debt levels and financial risk?</w:t>
      </w:r>
    </w:p>
    <w:p>
      <w:pPr>
        <w:numPr>
          <w:ilvl w:val="0"/>
          <w:numId w:val="1003"/>
        </w:numPr>
      </w:pPr>
      <w:r>
        <w:rPr>
          <w:b/>
          <w:b/>
          <w:bCs/>
          <w:bCs/>
        </w:rPr>
        <w:t xml:space="preserve">The Cyclical Risk:</w:t>
      </w:r>
      <w:r>
        <w:t xml:space="preserve"> </w:t>
      </w:r>
      <w:r>
        <w:t xml:space="preserve">The semiconductor industry is famously cyclical. We are in 2022, and the yield curve is inverting while the PMI is falling, signaling a potential recession. How does the business cycle complicate this massive investment plan? What happens if a deep recession crushes chip demand right as Intel's new, expensive fabs come online?</w:t>
      </w:r>
    </w:p>
    <w:p>
      <w:pPr>
        <w:numPr>
          <w:ilvl w:val="0"/>
          <w:numId w:val="1003"/>
        </w:numPr>
      </w:pPr>
      <w:r>
        <w:rPr>
          <w:b/>
          <w:b/>
          <w:bCs/>
          <w:bCs/>
        </w:rPr>
        <w:t xml:space="preserve">Final Recommendation (Go / No-Go / Go-Slow):</w:t>
      </w:r>
      <w:r>
        <w:t xml:space="preserve"> </w:t>
      </w:r>
      <w:r>
        <w:t xml:space="preserve">Should Intel proceed with this $100B bet?</w:t>
      </w:r>
    </w:p>
    <w:p>
      <w:pPr>
        <w:pStyle w:val="Compact"/>
        <w:numPr>
          <w:ilvl w:val="1"/>
          <w:numId w:val="1005"/>
        </w:numPr>
      </w:pPr>
      <w:r>
        <w:rPr>
          <w:b/>
          <w:bCs/>
        </w:rPr>
        <w:t xml:space="preserve">Justify your answer.</w:t>
      </w:r>
      <w:r>
        <w:t xml:space="preserve"> </w:t>
      </w:r>
      <w:r>
        <w:t xml:space="preserve">Frame it as a trade-off. Is the long-term geopolitical and strategic benefit worth the enormous short-term financial risk and cyclical exposure? What is the "cost of failure" vs. the "cost of inaction"?</w:t>
      </w:r>
    </w:p>
    <w:bookmarkEnd w:id="27"/>
    <w:sectPr w:rsidR="00194344" w:rsidRPr="006E2ED4" w:rsidSect="00C24811">
      <w:headerReference r:id="rId9" w:type="default"/>
      <w:pgSz w:h="15840" w:w="12240"/>
      <w:pgMar w:bottom="1440" w:footer="720" w:gutter="0" w:header="720" w:left="1440" w:right="1440" w:top="1725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isse Int'l Book">
    <w:panose1 w:val="020B0504000000000000"/>
    <w:charset w:val="00"/>
    <w:family w:val="swiss"/>
    <w:notTrueType/>
    <w:pitch w:val="variable"/>
    <w:sig w:usb0="00000207" w:usb1="00000000" w:usb2="00000000" w:usb3="00000000" w:csb0="00000097" w:csb1="00000000"/>
  </w:font>
  <w:font w:name="Suisse Int'l">
    <w:panose1 w:val="020B0504000000000000"/>
    <w:charset w:val="00"/>
    <w:family w:val="swiss"/>
    <w:notTrueType/>
    <w:pitch w:val="variable"/>
    <w:sig w:usb0="00002207" w:usb1="00000000" w:usb2="00000008" w:usb3="00000000" w:csb0="000000D7" w:csb1="00000000"/>
  </w:font>
  <w:font w:name="Suisse Int'l Semi Bold">
    <w:panose1 w:val="020B0804000000000000"/>
    <w:charset w:val="00"/>
    <w:family w:val="swiss"/>
    <w:notTrueType/>
    <w:pitch w:val="variable"/>
    <w:sig w:usb0="00002207" w:usb1="00000000" w:usb2="00000008" w:usb3="00000000" w:csb0="000000D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ira Code">
    <w:panose1 w:val="020B0809050000020004"/>
    <w:charset w:val="00"/>
    <w:family w:val="modern"/>
    <w:pitch w:val="fixed"/>
    <w:sig w:usb0="E00002EF" w:usb1="1201F9FB" w:usb2="02002018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B2D2" w14:textId="302E344A" w:rsidR="00C24811" w:rsidRDefault="00C95968">
    <w:pPr>
      <w:pStyle w:val="Header"/>
    </w:pPr>
    <w:r>
      <w:rPr>
        <w:noProof/>
        <w:lang w:eastAsia="fr-FR"/>
      </w:rPr>
      <w:drawing>
        <wp:inline distT="0" distB="0" distL="0" distR="0" wp14:anchorId="7798D0AC" wp14:editId="53D2C11F">
          <wp:extent cx="1345721" cy="503870"/>
          <wp:effectExtent l="0" t="0" r="0" b="0"/>
          <wp:docPr id="6" name="Image 6" descr="LOGOTYPE PSB_BRANDBLOCK_BLEU 288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TYPE PSB_BRANDBLOCK_BLEU 288 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863" cy="509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0000A990"/>
    <w:multiLevelType w:val="multilevel"/>
    <w:tmpl w:val="2DEC13AC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EDC07C0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2">
    <w:nsid w:val="00A99411"/>
    <w:multiLevelType w:val="multilevel"/>
    <w:tmpl w:val="5EE275AE"/>
    <w:lvl w:ilvl="0">
      <w:start w:val="1"/>
      <w:numFmt w:val="decimal"/>
      <w:lvlText w:val="%1."/>
      <w:lvlJc w:val="left"/>
      <w:pPr>
        <w:ind w:hanging="480" w:left="720"/>
      </w:pPr>
    </w:lvl>
    <w:lvl w:ilvl="1">
      <w:start w:val="1"/>
      <w:numFmt w:val="decimal"/>
      <w:lvlText w:val="%2."/>
      <w:lvlJc w:val="left"/>
      <w:pPr>
        <w:ind w:hanging="480" w:left="1440"/>
      </w:pPr>
    </w:lvl>
    <w:lvl w:ilvl="2">
      <w:start w:val="1"/>
      <w:numFmt w:val="decimal"/>
      <w:lvlText w:val="%3."/>
      <w:lvlJc w:val="left"/>
      <w:pPr>
        <w:ind w:hanging="480" w:left="2160"/>
      </w:pPr>
    </w:lvl>
    <w:lvl w:ilvl="3">
      <w:start w:val="1"/>
      <w:numFmt w:val="decimal"/>
      <w:lvlText w:val="%4."/>
      <w:lvlJc w:val="left"/>
      <w:pPr>
        <w:ind w:hanging="480" w:left="2880"/>
      </w:pPr>
    </w:lvl>
    <w:lvl w:ilvl="4">
      <w:start w:val="1"/>
      <w:numFmt w:val="decimal"/>
      <w:lvlText w:val="%5."/>
      <w:lvlJc w:val="left"/>
      <w:pPr>
        <w:ind w:hanging="480" w:left="3600"/>
      </w:pPr>
    </w:lvl>
    <w:lvl w:ilvl="5">
      <w:start w:val="1"/>
      <w:numFmt w:val="decimal"/>
      <w:lvlText w:val="%6."/>
      <w:lvlJc w:val="left"/>
      <w:pPr>
        <w:ind w:hanging="480" w:left="4320"/>
      </w:pPr>
    </w:lvl>
    <w:lvl w:ilvl="6">
      <w:start w:val="1"/>
      <w:numFmt w:val="decimal"/>
      <w:lvlText w:val="%7."/>
      <w:lvlJc w:val="left"/>
      <w:pPr>
        <w:ind w:hanging="480" w:left="5040"/>
      </w:pPr>
    </w:lvl>
    <w:lvl w:ilvl="7">
      <w:start w:val="1"/>
      <w:numFmt w:val="decimal"/>
      <w:lvlText w:val="%8."/>
      <w:lvlJc w:val="left"/>
      <w:pPr>
        <w:ind w:hanging="480" w:left="5760"/>
      </w:pPr>
    </w:lvl>
    <w:lvl w:ilvl="8">
      <w:start w:val="1"/>
      <w:numFmt w:val="decimal"/>
      <w:lvlText w:val="%9."/>
      <w:lvlJc w:val="left"/>
      <w:pPr>
        <w:ind w:hanging="480" w:left="6480"/>
      </w:pPr>
    </w:lvl>
  </w:abstractNum>
  <w:abstractNum w15:restartNumberingAfterBreak="0" w:abstractNumId="3">
    <w:nsid w:val="25AD1AE3"/>
    <w:multiLevelType w:val="multilevel"/>
    <w:tmpl w:val="C172DD10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4">
    <w:nsid w:val="6819496C"/>
    <w:multiLevelType w:val="multilevel"/>
    <w:tmpl w:val="040C0025"/>
    <w:lvl w:ilvl="0">
      <w:start w:val="1"/>
      <w:numFmt w:val="decimal"/>
      <w:lvlText w:val="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5">
    <w:nsid w:val="7BCC22B9"/>
    <w:multiLevelType w:val="multilevel"/>
    <w:tmpl w:val="040C0025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16cid:durableId="1686059104" w:numId="1">
    <w:abstractNumId w:val="0"/>
  </w:num>
  <w:num w16cid:durableId="1741056308"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23613683" w:numId="3">
    <w:abstractNumId w:val="1"/>
  </w:num>
  <w:num w16cid:durableId="1100032036" w:numId="4">
    <w:abstractNumId w:val="1"/>
  </w:num>
  <w:num w16cid:durableId="899481852" w:numId="5">
    <w:abstractNumId w:val="1"/>
  </w:num>
  <w:num w16cid:durableId="699862882"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2127114725" w:numId="7">
    <w:abstractNumId w:val="4"/>
  </w:num>
  <w:num w16cid:durableId="131410934" w:numId="8">
    <w:abstractNumId w:val="3"/>
  </w:num>
  <w:num w16cid:durableId="1526945373" w:numId="9">
    <w:abstractNumId w:val="5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2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344"/>
    <w:rsid w:val="000640D4"/>
    <w:rsid w:val="00194344"/>
    <w:rsid w:val="001E513B"/>
    <w:rsid w:val="00213E9B"/>
    <w:rsid w:val="0039784C"/>
    <w:rsid w:val="00446E3A"/>
    <w:rsid w:val="004671FD"/>
    <w:rsid w:val="00562256"/>
    <w:rsid w:val="00571BF3"/>
    <w:rsid w:val="005A084A"/>
    <w:rsid w:val="006A1D0E"/>
    <w:rsid w:val="006D246F"/>
    <w:rsid w:val="006E2ED4"/>
    <w:rsid w:val="008B3BD9"/>
    <w:rsid w:val="009652C2"/>
    <w:rsid w:val="00A40D11"/>
    <w:rsid w:val="00C24811"/>
    <w:rsid w:val="00C63BA9"/>
    <w:rsid w:val="00C95968"/>
    <w:rsid w:val="00CF0070"/>
    <w:rsid w:val="00DC3984"/>
    <w:rsid w:val="00E31FD6"/>
    <w:rsid w:val="00E60A57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yperlink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6A1D0E"/>
    <w:pPr>
      <w:spacing w:after="180" w:before="180"/>
    </w:pPr>
    <w:rPr>
      <w:rFonts w:ascii="Suisse Int'l Book" w:cs="Suisse Int'l" w:hAnsi="Suisse Int'l Book"/>
    </w:rPr>
  </w:style>
  <w:style w:styleId="Heading1" w:type="paragraph">
    <w:name w:val="heading 1"/>
    <w:basedOn w:val="Normal"/>
    <w:next w:val="BodyText"/>
    <w:uiPriority w:val="9"/>
    <w:qFormat/>
    <w:rsid w:val="00446E3A"/>
    <w:pPr>
      <w:keepNext/>
      <w:keepLines/>
      <w:numPr>
        <w:numId w:val="9"/>
      </w:numPr>
      <w:spacing w:after="0" w:before="480"/>
      <w:outlineLvl w:val="0"/>
    </w:pPr>
    <w:rPr>
      <w:rFonts w:ascii="Suisse Int'l Semi Bold" w:cs="Suisse Int'l Semi Bold" w:eastAsiaTheme="majorEastAsia" w:hAnsi="Suisse Int'l Semi Bold"/>
      <w:b/>
      <w:bCs/>
      <w:color w:themeColor="text2" w:themeShade="BF" w:val="17365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C24811"/>
    <w:pPr>
      <w:keepNext/>
      <w:keepLines/>
      <w:numPr>
        <w:ilvl w:val="1"/>
        <w:numId w:val="9"/>
      </w:numPr>
      <w:spacing w:after="0" w:before="200"/>
      <w:outlineLvl w:val="1"/>
    </w:pPr>
    <w:rPr>
      <w:rFonts w:ascii="Suisse Int'l Semi Bold" w:cs="Suisse Int'l Semi Bold" w:eastAsiaTheme="majorEastAsia" w:hAnsi="Suisse Int'l Semi Bold"/>
      <w:b/>
      <w:bCs/>
      <w:color w:themeColor="text2" w:themeShade="BF" w:val="17365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9784C"/>
    <w:pPr>
      <w:keepNext/>
      <w:keepLines/>
      <w:numPr>
        <w:ilvl w:val="2"/>
        <w:numId w:val="9"/>
      </w:numPr>
      <w:spacing w:after="0" w:before="200"/>
      <w:outlineLvl w:val="2"/>
    </w:pPr>
    <w:rPr>
      <w:rFonts w:ascii="Suisse Int'l Semi Bold" w:cs="Suisse Int'l Semi Bold" w:eastAsiaTheme="majorEastAsia" w:hAnsi="Suisse Int'l Semi Bold"/>
      <w:b/>
      <w:bCs/>
      <w:color w:themeColor="text2" w:themeShade="BF" w:val="17365D"/>
    </w:rPr>
  </w:style>
  <w:style w:styleId="Heading4" w:type="paragraph">
    <w:name w:val="heading 4"/>
    <w:basedOn w:val="Normal"/>
    <w:next w:val="BodyText"/>
    <w:uiPriority w:val="9"/>
    <w:unhideWhenUsed/>
    <w:qFormat/>
    <w:rsid w:val="00DC3984"/>
    <w:pPr>
      <w:keepNext/>
      <w:keepLines/>
      <w:numPr>
        <w:ilvl w:val="3"/>
        <w:numId w:val="9"/>
      </w:numPr>
      <w:spacing w:after="0" w:before="200"/>
      <w:outlineLvl w:val="3"/>
    </w:pPr>
    <w:rPr>
      <w:rFonts w:ascii="Suisse Int'l Semi Bold" w:cs="Suisse Int'l Semi Bold" w:eastAsiaTheme="majorEastAsia" w:hAnsi="Suisse Int'l Semi Bold"/>
      <w:bCs/>
      <w:i/>
      <w:color w:val="AF1062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9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9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9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9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9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446E3A"/>
    <w:pPr>
      <w:keepNext/>
      <w:keepLines/>
      <w:spacing w:after="240" w:before="480"/>
      <w:jc w:val="center"/>
    </w:pPr>
    <w:rPr>
      <w:rFonts w:ascii="Suisse Int'l Semi Bold" w:cs="Suisse Int'l Semi Bold" w:eastAsiaTheme="majorEastAsia" w:hAnsi="Suisse Int'l Semi Bold"/>
      <w:b/>
      <w:bCs/>
      <w:color w:val="AF1062"/>
      <w:sz w:val="40"/>
      <w:szCs w:val="40"/>
    </w:rPr>
  </w:style>
  <w:style w:styleId="Subtitle" w:type="paragraph">
    <w:name w:val="Subtitle"/>
    <w:basedOn w:val="Title"/>
    <w:next w:val="BodyText"/>
    <w:qFormat/>
    <w:rsid w:val="005A084A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6A1D0E"/>
    <w:pPr>
      <w:keepNext/>
      <w:keepLines/>
      <w:jc w:val="center"/>
    </w:pPr>
    <w:rPr>
      <w:rFonts w:ascii="Suisse Int'l Semi Bold" w:cs="Suisse Int'l Semi Bold" w:hAnsi="Suisse Int'l Semi Bold"/>
      <w:color w:themeColor="text2" w:themeShade="BF" w:val="17365D"/>
    </w:rPr>
  </w:style>
  <w:style w:styleId="Date" w:type="paragraph">
    <w:name w:val="Date"/>
    <w:next w:val="BodyText"/>
    <w:qFormat/>
    <w:rsid w:val="0039784C"/>
    <w:pPr>
      <w:keepNext/>
      <w:keepLines/>
      <w:jc w:val="center"/>
    </w:pPr>
    <w:rPr>
      <w:rFonts w:ascii="Suisse Int'l" w:cs="Suisse Int'l" w:hAnsi="Suisse Int'l"/>
      <w:color w:val="AF1062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qFormat/>
    <w:rsid w:val="00E31FD6"/>
    <w:rPr>
      <w:color w:val="AF1062"/>
      <w:u w:val="single"/>
    </w:rPr>
  </w:style>
  <w:style w:styleId="TOCHeading" w:type="paragraph">
    <w:name w:val="TOC Heading"/>
    <w:basedOn w:val="Heading1"/>
    <w:next w:val="BodyText"/>
    <w:uiPriority w:val="39"/>
    <w:unhideWhenUsed/>
    <w:qFormat/>
    <w:rsid w:val="006A1D0E"/>
    <w:pPr>
      <w:spacing w:before="240" w:line="259" w:lineRule="auto"/>
      <w:outlineLvl w:val="9"/>
    </w:pPr>
    <w:rPr>
      <w:b w:val="0"/>
      <w:bCs w:val="0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C24811"/>
    <w:pPr>
      <w:tabs>
        <w:tab w:pos="4513" w:val="center"/>
        <w:tab w:pos="9026" w:val="right"/>
      </w:tabs>
      <w:spacing w:after="0" w:before="0"/>
    </w:pPr>
  </w:style>
  <w:style w:customStyle="1" w:styleId="HeaderChar" w:type="character">
    <w:name w:val="Header Char"/>
    <w:basedOn w:val="DefaultParagraphFont"/>
    <w:link w:val="Header"/>
    <w:rsid w:val="00C24811"/>
    <w:rPr>
      <w:rFonts w:ascii="Suisse Int'l Book" w:cs="Suisse Int'l" w:hAnsi="Suisse Int'l Book"/>
    </w:rPr>
  </w:style>
  <w:style w:styleId="Footer" w:type="paragraph">
    <w:name w:val="footer"/>
    <w:basedOn w:val="Normal"/>
    <w:link w:val="FooterChar"/>
    <w:rsid w:val="00C24811"/>
    <w:pPr>
      <w:tabs>
        <w:tab w:pos="4513" w:val="center"/>
        <w:tab w:pos="9026" w:val="right"/>
      </w:tabs>
      <w:spacing w:after="0" w:before="0"/>
    </w:pPr>
  </w:style>
  <w:style w:customStyle="1" w:styleId="FooterChar" w:type="character">
    <w:name w:val="Footer Char"/>
    <w:basedOn w:val="DefaultParagraphFont"/>
    <w:link w:val="Footer"/>
    <w:rsid w:val="00C24811"/>
    <w:rPr>
      <w:rFonts w:ascii="Suisse Int'l Book" w:cs="Suisse Int'l" w:hAnsi="Suisse Int'l Book"/>
    </w:rPr>
  </w:style>
  <w:style w:customStyle="1" w:styleId="Labeur" w:type="paragraph">
    <w:name w:val="Labeur"/>
    <w:basedOn w:val="Normal"/>
    <w:uiPriority w:val="99"/>
    <w:rsid w:val="00C24811"/>
    <w:pPr>
      <w:suppressAutoHyphens/>
      <w:autoSpaceDE w:val="0"/>
      <w:autoSpaceDN w:val="0"/>
      <w:adjustRightInd w:val="0"/>
      <w:spacing w:after="57" w:before="0" w:line="200" w:lineRule="atLeast"/>
      <w:textAlignment w:val="center"/>
    </w:pPr>
    <w:rPr>
      <w:rFonts w:cs="Suisse Int'l Book"/>
      <w:color w:val="000000"/>
      <w:spacing w:val="-3"/>
      <w:sz w:val="17"/>
      <w:szCs w:val="17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image" Id="rId23" Target="media/rId23.png" /><Relationship Type="http://schemas.openxmlformats.org/officeDocument/2006/relationships/hyperlink" Id="rId22" Target="https://www.intc.com/news-events/press-releases/detail/1451/intel-ceo-pat-gelsinger-announces-idm-2-0-strateg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www.intc.com/news-events/press-releases/detail/1451/intel-ceo-pat-gelsinger-announces-idm-2-0-strategy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1209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Intel's Big Bet: The CHIPS Act and Global Foundry Strategy</dc:title>
  <dc:creator>Nima Fazeli</dc:creator>
  <cp:keywords/>
  <dcterms:created xsi:type="dcterms:W3CDTF">2025-11-07T10:38:50Z</dcterms:created>
  <dcterms:modified xsi:type="dcterms:W3CDTF">2025-11-07T10:38:50Z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